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94B1B" w14:textId="77777777" w:rsidR="006518A9" w:rsidRDefault="0066605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b/>
          <w:sz w:val="28"/>
          <w:szCs w:val="28"/>
        </w:rPr>
        <w:t>Факторы риска сердечно-сосудистых заболеваний</w:t>
      </w:r>
    </w:p>
    <w:p w14:paraId="1BD32EEA" w14:textId="77777777" w:rsidR="00666059" w:rsidRPr="00666059" w:rsidRDefault="00666059">
      <w:pPr>
        <w:widowControl w:val="0"/>
        <w:spacing w:after="0" w:line="360" w:lineRule="auto"/>
        <w:jc w:val="center"/>
        <w:rPr>
          <w:sz w:val="28"/>
          <w:szCs w:val="28"/>
        </w:rPr>
      </w:pPr>
    </w:p>
    <w:p w14:paraId="0FBB9443" w14:textId="77777777" w:rsidR="006518A9" w:rsidRPr="00666059" w:rsidRDefault="00666059">
      <w:pPr>
        <w:widowControl w:val="0"/>
        <w:spacing w:after="0" w:line="360" w:lineRule="auto"/>
        <w:ind w:firstLine="510"/>
        <w:jc w:val="both"/>
        <w:rPr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Сердечно-сосудистые заболевания являются основной причиной   смерти во всем мире: ни по какой другой причине ежегодно не умирает столько людей, сколько от сердечно-сосудистых заболеваний. Большинство из них можно предотвратить путем принятия мер в отношении факторов риска. </w:t>
      </w:r>
    </w:p>
    <w:p w14:paraId="2A338C3B" w14:textId="77777777" w:rsidR="006518A9" w:rsidRPr="00666059" w:rsidRDefault="00666059">
      <w:pPr>
        <w:widowControl w:val="0"/>
        <w:spacing w:after="0" w:line="360" w:lineRule="auto"/>
        <w:ind w:firstLine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>Сердечно-сосудистые заболевания представляют собой группу болезней сердца и кровеносных сосудов, в которую входят:</w:t>
      </w:r>
    </w:p>
    <w:p w14:paraId="16978EA0" w14:textId="77777777" w:rsidR="006518A9" w:rsidRPr="00666059" w:rsidRDefault="00666059">
      <w:pPr>
        <w:pStyle w:val="a3"/>
        <w:numPr>
          <w:ilvl w:val="0"/>
          <w:numId w:val="2"/>
        </w:numPr>
        <w:tabs>
          <w:tab w:val="clear" w:pos="707"/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ишемическая болезнь сердца (ИБС) – поражение сердца вследствие нарушения проходимости сосудов, снабжающих кровью сердечную мышцу; </w:t>
      </w:r>
    </w:p>
    <w:p w14:paraId="4F4745C6" w14:textId="77777777" w:rsidR="006518A9" w:rsidRPr="00666059" w:rsidRDefault="00666059">
      <w:pPr>
        <w:pStyle w:val="a3"/>
        <w:numPr>
          <w:ilvl w:val="0"/>
          <w:numId w:val="2"/>
        </w:numPr>
        <w:tabs>
          <w:tab w:val="clear" w:pos="707"/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нарушения мозгового кровообращения – изменения в  кровеносных сосудах, снабжающих кровью мозг; </w:t>
      </w:r>
    </w:p>
    <w:p w14:paraId="7C4C98DD" w14:textId="77777777" w:rsidR="006518A9" w:rsidRPr="00666059" w:rsidRDefault="00666059">
      <w:pPr>
        <w:pStyle w:val="a3"/>
        <w:numPr>
          <w:ilvl w:val="0"/>
          <w:numId w:val="2"/>
        </w:numPr>
        <w:tabs>
          <w:tab w:val="clear" w:pos="707"/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изменения в периферических артериях – в сосудах, снабжающих кровью, например, конечности; </w:t>
      </w:r>
    </w:p>
    <w:p w14:paraId="2191519F" w14:textId="77777777" w:rsidR="006518A9" w:rsidRPr="00666059" w:rsidRDefault="00666059">
      <w:pPr>
        <w:pStyle w:val="a3"/>
        <w:numPr>
          <w:ilvl w:val="0"/>
          <w:numId w:val="2"/>
        </w:numPr>
        <w:tabs>
          <w:tab w:val="clear" w:pos="707"/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ревмокардит – поражение сердечной мышцы и сердечных клапанов в результате аутоиммунной реакции, вызываемой стрептококковыми бактериями; </w:t>
      </w:r>
    </w:p>
    <w:p w14:paraId="5EF4F3A3" w14:textId="77777777" w:rsidR="006518A9" w:rsidRPr="00666059" w:rsidRDefault="00666059">
      <w:pPr>
        <w:pStyle w:val="a3"/>
        <w:numPr>
          <w:ilvl w:val="0"/>
          <w:numId w:val="2"/>
        </w:numPr>
        <w:tabs>
          <w:tab w:val="clear" w:pos="707"/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врожденные пороки сердца – существующие с рождения аномалии строения сердца; </w:t>
      </w:r>
    </w:p>
    <w:p w14:paraId="76339ADD" w14:textId="77777777" w:rsidR="006518A9" w:rsidRPr="00666059" w:rsidRDefault="00666059">
      <w:pPr>
        <w:pStyle w:val="a3"/>
        <w:numPr>
          <w:ilvl w:val="0"/>
          <w:numId w:val="2"/>
        </w:numPr>
        <w:tabs>
          <w:tab w:val="clear" w:pos="707"/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тромбоз глубоких вен и эмболия легочных артерий – образование в венах ног сгустков крови, которые могут смещаться и двигаться к сердцу и легким. </w:t>
      </w:r>
    </w:p>
    <w:p w14:paraId="34C90AA5" w14:textId="77777777" w:rsidR="006518A9" w:rsidRPr="00666059" w:rsidRDefault="0066605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>Инфаркты и инсульты обычно являются острыми заболеваниями и происходят, главным образом, в результате закупоривания сосудов, что препятствует току крови к сердцу или мозгу. Самой распространенной причиной этого является образование жировых отложений на внутренних стенках кровеносных сосудов. Кровотечения из сосуда в мозге или тромбы могут также быть причиной инсульта.</w:t>
      </w:r>
    </w:p>
    <w:p w14:paraId="1FAA273F" w14:textId="77777777" w:rsidR="006518A9" w:rsidRPr="00666059" w:rsidRDefault="0066605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Однозначных оснований развития сердечно-сосудистых и других неинфекционных заболеваний не существует, однако выделяются факторы, предрасполагающие к возникновению этих болезней. Их принято называть факторами риска, в связи с этим сердечно-сосудистые заболевания представляют собой результат взаимодействия целого ряда факторов риска, </w:t>
      </w:r>
      <w:r w:rsidRPr="006660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которые делятся на 2 группы — модифицируемые (управляемые) и </w:t>
      </w:r>
      <w:proofErr w:type="spellStart"/>
      <w:r w:rsidRPr="00666059">
        <w:rPr>
          <w:rFonts w:ascii="Times New Roman" w:eastAsia="Times New Roman" w:hAnsi="Times New Roman" w:cs="Times New Roman"/>
          <w:sz w:val="28"/>
          <w:szCs w:val="28"/>
        </w:rPr>
        <w:t>немодифицируемые</w:t>
      </w:r>
      <w:proofErr w:type="spellEnd"/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 (неуправляемые). </w:t>
      </w:r>
    </w:p>
    <w:p w14:paraId="5DB0646A" w14:textId="77777777" w:rsidR="006518A9" w:rsidRPr="00666059" w:rsidRDefault="0066605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>К управляемым относятся риски, на которые человек может каким-либо образом повлиять — постараться избежать их в своей жизни, уменьшить или полностью нейтрализовать их воздействие.</w:t>
      </w:r>
    </w:p>
    <w:p w14:paraId="5309301E" w14:textId="77777777" w:rsidR="006518A9" w:rsidRPr="00666059" w:rsidRDefault="0066605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Таких рисков большинство — это образ жизни: нерациональное питание, табакокурение, злоупотребление алкоголем, несоблюдение режима труда и отдыха, гиподинамия, стрессовые ситуации; биохимические или физиологические факторы: повышенное артериальное давление, повышенный уровень холестерина,  триглицеридов, гипергликемия/сахарный диабет, ожирение, </w:t>
      </w:r>
      <w:proofErr w:type="spellStart"/>
      <w:r w:rsidRPr="00666059">
        <w:rPr>
          <w:rFonts w:ascii="Times New Roman" w:eastAsia="Times New Roman" w:hAnsi="Times New Roman" w:cs="Times New Roman"/>
          <w:sz w:val="28"/>
          <w:szCs w:val="28"/>
        </w:rPr>
        <w:t>тромбогенные</w:t>
      </w:r>
      <w:proofErr w:type="spellEnd"/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 факторы, экологические факторы. </w:t>
      </w:r>
    </w:p>
    <w:p w14:paraId="2287C12C" w14:textId="77777777" w:rsidR="006518A9" w:rsidRPr="00666059" w:rsidRDefault="0066605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 xml:space="preserve">К неуправляемым относятся риски, которые представляют такие условия и обстоятельства, от которых невозможно избавиться или как-то на них повлиять, таких рисков меньшинство: возраст, пол, наследственность (раннее развитие ИБС у родственников), наличие проявлений атеросклероза. Кроме самостоятельной профилактики сердечно-сосудистых заболеваний, важным элементом мониторинга состояния здоровья является своевременный и профессиональный медицинский контроль. </w:t>
      </w:r>
    </w:p>
    <w:p w14:paraId="4D0A7965" w14:textId="77777777" w:rsidR="006518A9" w:rsidRDefault="0066605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059">
        <w:rPr>
          <w:rFonts w:ascii="Times New Roman" w:eastAsia="Times New Roman" w:hAnsi="Times New Roman" w:cs="Times New Roman"/>
          <w:sz w:val="28"/>
          <w:szCs w:val="28"/>
        </w:rPr>
        <w:t>Чтобы предотвратить возникновение и развитие сердечно-сосудистых заболеваний, необходимо: пройти медицинское обследование, которое поможет выявить риски, связанные с особенностями физиологии организма; следовать рекомендациям врача, направленным на снижение уровня холестерина и сахара крови, а также проанализировать свой образ жизни и организовать рациональное питание, контролировать массу тела, нормализовать артериальное давление, отказаться от курения, регулярно заниматься физическими упражнениями, организовать свой режим дня с рациональным чередованием труда и отдыха, регулярно проходить обследования и придерживаться здорового образа жизни.</w:t>
      </w:r>
    </w:p>
    <w:p w14:paraId="496689B1" w14:textId="77777777" w:rsidR="006A2BF9" w:rsidRDefault="006A2BF9">
      <w:pPr>
        <w:pStyle w:val="a3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54645B" w14:textId="77777777" w:rsidR="006A2BF9" w:rsidRPr="006A2BF9" w:rsidRDefault="006A2BF9" w:rsidP="006A2BF9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0A4A77" w14:textId="1A9AB999" w:rsidR="006A2BF9" w:rsidRPr="006A2BF9" w:rsidRDefault="006A2BF9" w:rsidP="006A2BF9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2BF9">
        <w:rPr>
          <w:rFonts w:ascii="Times New Roman" w:eastAsia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6A2BF9" w:rsidRPr="006A2BF9" w:rsidSect="006518A9">
      <w:pgSz w:w="11906" w:h="16838"/>
      <w:pgMar w:top="1134" w:right="850" w:bottom="1134" w:left="1701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1664F"/>
    <w:multiLevelType w:val="multilevel"/>
    <w:tmpl w:val="F14A65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A987AD5"/>
    <w:multiLevelType w:val="multilevel"/>
    <w:tmpl w:val="05AC168C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30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num w:numId="1" w16cid:durableId="2053335404">
    <w:abstractNumId w:val="0"/>
  </w:num>
  <w:num w:numId="2" w16cid:durableId="2005278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18A9"/>
    <w:rsid w:val="006518A9"/>
    <w:rsid w:val="00666059"/>
    <w:rsid w:val="006A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E43BC"/>
  <w15:docId w15:val="{6CB24FE2-BDEA-4F5F-B8F7-6F2E70C6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64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next w:val="a3"/>
    <w:qFormat/>
    <w:rsid w:val="006518A9"/>
    <w:pPr>
      <w:widowControl w:val="0"/>
      <w:numPr>
        <w:ilvl w:val="1"/>
        <w:numId w:val="1"/>
      </w:numPr>
      <w:spacing w:before="200" w:after="120"/>
      <w:outlineLvl w:val="1"/>
    </w:pPr>
    <w:rPr>
      <w:rFonts w:ascii="Liberation Serif" w:eastAsia="DejaVu Sans" w:hAnsi="Liberation Serif" w:cs="DejaVu Sans"/>
      <w:b/>
      <w:bCs/>
      <w:sz w:val="36"/>
      <w:szCs w:val="36"/>
    </w:rPr>
  </w:style>
  <w:style w:type="character" w:customStyle="1" w:styleId="a4">
    <w:name w:val="Маркеры списка"/>
    <w:qFormat/>
    <w:rsid w:val="006518A9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6518A9"/>
    <w:rPr>
      <w:rFonts w:cs="OpenSymbol"/>
      <w:sz w:val="30"/>
    </w:rPr>
  </w:style>
  <w:style w:type="character" w:customStyle="1" w:styleId="ListLabel2">
    <w:name w:val="ListLabel 2"/>
    <w:qFormat/>
    <w:rsid w:val="006518A9"/>
    <w:rPr>
      <w:rFonts w:cs="OpenSymbol"/>
    </w:rPr>
  </w:style>
  <w:style w:type="character" w:customStyle="1" w:styleId="ListLabel3">
    <w:name w:val="ListLabel 3"/>
    <w:qFormat/>
    <w:rsid w:val="006518A9"/>
    <w:rPr>
      <w:rFonts w:cs="OpenSymbol"/>
    </w:rPr>
  </w:style>
  <w:style w:type="character" w:customStyle="1" w:styleId="ListLabel4">
    <w:name w:val="ListLabel 4"/>
    <w:qFormat/>
    <w:rsid w:val="006518A9"/>
    <w:rPr>
      <w:rFonts w:cs="OpenSymbol"/>
    </w:rPr>
  </w:style>
  <w:style w:type="character" w:customStyle="1" w:styleId="ListLabel5">
    <w:name w:val="ListLabel 5"/>
    <w:qFormat/>
    <w:rsid w:val="006518A9"/>
    <w:rPr>
      <w:rFonts w:cs="OpenSymbol"/>
    </w:rPr>
  </w:style>
  <w:style w:type="character" w:customStyle="1" w:styleId="ListLabel6">
    <w:name w:val="ListLabel 6"/>
    <w:qFormat/>
    <w:rsid w:val="006518A9"/>
    <w:rPr>
      <w:rFonts w:cs="OpenSymbol"/>
    </w:rPr>
  </w:style>
  <w:style w:type="character" w:customStyle="1" w:styleId="ListLabel7">
    <w:name w:val="ListLabel 7"/>
    <w:qFormat/>
    <w:rsid w:val="006518A9"/>
    <w:rPr>
      <w:rFonts w:cs="OpenSymbol"/>
    </w:rPr>
  </w:style>
  <w:style w:type="character" w:customStyle="1" w:styleId="ListLabel8">
    <w:name w:val="ListLabel 8"/>
    <w:qFormat/>
    <w:rsid w:val="006518A9"/>
    <w:rPr>
      <w:rFonts w:cs="OpenSymbol"/>
    </w:rPr>
  </w:style>
  <w:style w:type="character" w:customStyle="1" w:styleId="ListLabel9">
    <w:name w:val="ListLabel 9"/>
    <w:qFormat/>
    <w:rsid w:val="006518A9"/>
    <w:rPr>
      <w:rFonts w:cs="OpenSymbol"/>
    </w:rPr>
  </w:style>
  <w:style w:type="character" w:customStyle="1" w:styleId="ListLabel10">
    <w:name w:val="ListLabel 10"/>
    <w:qFormat/>
    <w:rsid w:val="006518A9"/>
    <w:rPr>
      <w:rFonts w:cs="OpenSymbol"/>
      <w:sz w:val="30"/>
    </w:rPr>
  </w:style>
  <w:style w:type="character" w:customStyle="1" w:styleId="ListLabel11">
    <w:name w:val="ListLabel 11"/>
    <w:qFormat/>
    <w:rsid w:val="006518A9"/>
    <w:rPr>
      <w:rFonts w:cs="OpenSymbol"/>
    </w:rPr>
  </w:style>
  <w:style w:type="character" w:customStyle="1" w:styleId="ListLabel12">
    <w:name w:val="ListLabel 12"/>
    <w:qFormat/>
    <w:rsid w:val="006518A9"/>
    <w:rPr>
      <w:rFonts w:cs="OpenSymbol"/>
    </w:rPr>
  </w:style>
  <w:style w:type="character" w:customStyle="1" w:styleId="ListLabel13">
    <w:name w:val="ListLabel 13"/>
    <w:qFormat/>
    <w:rsid w:val="006518A9"/>
    <w:rPr>
      <w:rFonts w:cs="OpenSymbol"/>
    </w:rPr>
  </w:style>
  <w:style w:type="character" w:customStyle="1" w:styleId="ListLabel14">
    <w:name w:val="ListLabel 14"/>
    <w:qFormat/>
    <w:rsid w:val="006518A9"/>
    <w:rPr>
      <w:rFonts w:cs="OpenSymbol"/>
    </w:rPr>
  </w:style>
  <w:style w:type="character" w:customStyle="1" w:styleId="ListLabel15">
    <w:name w:val="ListLabel 15"/>
    <w:qFormat/>
    <w:rsid w:val="006518A9"/>
    <w:rPr>
      <w:rFonts w:cs="OpenSymbol"/>
    </w:rPr>
  </w:style>
  <w:style w:type="character" w:customStyle="1" w:styleId="ListLabel16">
    <w:name w:val="ListLabel 16"/>
    <w:qFormat/>
    <w:rsid w:val="006518A9"/>
    <w:rPr>
      <w:rFonts w:cs="OpenSymbol"/>
    </w:rPr>
  </w:style>
  <w:style w:type="character" w:customStyle="1" w:styleId="ListLabel17">
    <w:name w:val="ListLabel 17"/>
    <w:qFormat/>
    <w:rsid w:val="006518A9"/>
    <w:rPr>
      <w:rFonts w:cs="OpenSymbol"/>
    </w:rPr>
  </w:style>
  <w:style w:type="character" w:customStyle="1" w:styleId="ListLabel18">
    <w:name w:val="ListLabel 18"/>
    <w:qFormat/>
    <w:rsid w:val="006518A9"/>
    <w:rPr>
      <w:rFonts w:cs="OpenSymbol"/>
    </w:rPr>
  </w:style>
  <w:style w:type="paragraph" w:customStyle="1" w:styleId="Heading">
    <w:name w:val="Heading"/>
    <w:basedOn w:val="a"/>
    <w:next w:val="a3"/>
    <w:qFormat/>
    <w:rsid w:val="006518A9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3">
    <w:name w:val="Body Text"/>
    <w:basedOn w:val="a"/>
    <w:rsid w:val="006518A9"/>
    <w:pPr>
      <w:spacing w:after="140"/>
    </w:pPr>
  </w:style>
  <w:style w:type="paragraph" w:styleId="a5">
    <w:name w:val="List"/>
    <w:basedOn w:val="a3"/>
    <w:rsid w:val="006518A9"/>
    <w:rPr>
      <w:rFonts w:cs="Droid Sans Devanagari"/>
    </w:rPr>
  </w:style>
  <w:style w:type="paragraph" w:customStyle="1" w:styleId="1">
    <w:name w:val="Название объекта1"/>
    <w:basedOn w:val="a"/>
    <w:qFormat/>
    <w:rsid w:val="006518A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6518A9"/>
    <w:pPr>
      <w:suppressLineNumbers/>
    </w:pPr>
    <w:rPr>
      <w:rFonts w:cs="Droid Sans Devanagari"/>
    </w:rPr>
  </w:style>
  <w:style w:type="paragraph" w:customStyle="1" w:styleId="10">
    <w:name w:val="Заголовок1"/>
    <w:basedOn w:val="a"/>
    <w:next w:val="a3"/>
    <w:qFormat/>
    <w:rsid w:val="006518A9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index heading"/>
    <w:basedOn w:val="a"/>
    <w:qFormat/>
    <w:rsid w:val="006518A9"/>
    <w:pPr>
      <w:suppressLineNumbers/>
    </w:pPr>
    <w:rPr>
      <w:rFonts w:cs="Droid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556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Самодурова</dc:creator>
  <dc:description/>
  <cp:lastModifiedBy>Алина Олеговна Савич</cp:lastModifiedBy>
  <cp:revision>45</cp:revision>
  <cp:lastPrinted>2021-10-15T11:25:00Z</cp:lastPrinted>
  <dcterms:created xsi:type="dcterms:W3CDTF">2021-01-25T10:00:00Z</dcterms:created>
  <dcterms:modified xsi:type="dcterms:W3CDTF">2023-11-29T07:16:00Z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