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D223B" w14:textId="268CA223" w:rsidR="008E54FA" w:rsidRPr="00AA7B14" w:rsidRDefault="008E54FA" w:rsidP="008E54FA">
      <w:pPr>
        <w:spacing w:before="75" w:after="270" w:line="240" w:lineRule="auto"/>
        <w:jc w:val="both"/>
        <w:outlineLvl w:val="0"/>
        <w:rPr>
          <w:rFonts w:ascii="pf_din_text_cond_prolight" w:eastAsia="Times New Roman" w:hAnsi="pf_din_text_cond_prolight" w:cs="Times New Roman"/>
          <w:caps/>
          <w:color w:val="2F3032"/>
          <w:kern w:val="36"/>
          <w:sz w:val="33"/>
          <w:szCs w:val="33"/>
          <w:lang w:eastAsia="ru-RU"/>
        </w:rPr>
      </w:pPr>
      <w:r>
        <w:rPr>
          <w:rFonts w:ascii="pf_din_text_cond_prolight" w:eastAsia="Times New Roman" w:hAnsi="pf_din_text_cond_prolight" w:cs="Times New Roman"/>
          <w:caps/>
          <w:color w:val="2F3032"/>
          <w:kern w:val="36"/>
          <w:sz w:val="33"/>
          <w:szCs w:val="33"/>
          <w:lang w:eastAsia="ru-RU"/>
        </w:rPr>
        <w:t xml:space="preserve">        </w:t>
      </w:r>
      <w:r w:rsidRPr="00AA7B14">
        <w:rPr>
          <w:rFonts w:ascii="pf_din_text_cond_prolight" w:eastAsia="Times New Roman" w:hAnsi="pf_din_text_cond_prolight" w:cs="Times New Roman"/>
          <w:caps/>
          <w:color w:val="2F3032"/>
          <w:kern w:val="36"/>
          <w:sz w:val="33"/>
          <w:szCs w:val="33"/>
          <w:lang w:eastAsia="ru-RU"/>
        </w:rPr>
        <w:t>ОТВЕТСТВЕННОЕ РОДИТЕЛЬСТВО</w:t>
      </w:r>
    </w:p>
    <w:p w14:paraId="5276EFA0" w14:textId="71A213F6" w:rsidR="008E54FA" w:rsidRPr="00AA7B14" w:rsidRDefault="008E54FA" w:rsidP="008E54F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</w:t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Законы об ответственности родителей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14:paraId="37D39DD3" w14:textId="77777777" w:rsidR="008E54FA" w:rsidRPr="00AA7B14" w:rsidRDefault="008E54FA" w:rsidP="008E54FA">
      <w:pPr>
        <w:spacing w:after="0" w:line="240" w:lineRule="auto"/>
        <w:ind w:right="-36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b/>
          <w:bCs/>
          <w:color w:val="C00000"/>
          <w:sz w:val="21"/>
          <w:szCs w:val="21"/>
          <w:lang w:eastAsia="ru-RU"/>
        </w:rPr>
        <w:t>Ст.54 Семейного кодекса РФ</w:t>
      </w:r>
      <w:r w:rsidRPr="00AA7B14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. </w:t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Ребенок имеет право на воспитание своими родителями, обеспечение его интересов, всестороннее развитие, уважение его человеческого достоинства. </w:t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AA7B14">
        <w:rPr>
          <w:rFonts w:ascii="Verdana" w:eastAsia="Times New Roman" w:hAnsi="Verdana" w:cs="Times New Roman"/>
          <w:b/>
          <w:bCs/>
          <w:color w:val="C00000"/>
          <w:sz w:val="21"/>
          <w:szCs w:val="21"/>
          <w:lang w:eastAsia="ru-RU"/>
        </w:rPr>
        <w:t xml:space="preserve">Ст.5.35 Кодекса об административных правонарушениях </w:t>
      </w:r>
      <w:proofErr w:type="spellStart"/>
      <w:r w:rsidRPr="00AA7B14">
        <w:rPr>
          <w:rFonts w:ascii="Verdana" w:eastAsia="Times New Roman" w:hAnsi="Verdana" w:cs="Times New Roman"/>
          <w:b/>
          <w:bCs/>
          <w:color w:val="C00000"/>
          <w:sz w:val="21"/>
          <w:szCs w:val="21"/>
          <w:lang w:eastAsia="ru-RU"/>
        </w:rPr>
        <w:t>РФ.</w:t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Неисполнение</w:t>
      </w:r>
      <w:proofErr w:type="spellEnd"/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родителями или иными законными представителями несовершеннолетних обязанностей по содержанию и воспитанию несовершеннолетних. </w:t>
      </w:r>
    </w:p>
    <w:p w14:paraId="4C5A732E" w14:textId="77777777" w:rsidR="008E54FA" w:rsidRPr="00AA7B14" w:rsidRDefault="008E54FA" w:rsidP="008E54FA">
      <w:pPr>
        <w:spacing w:after="0" w:line="240" w:lineRule="auto"/>
        <w:ind w:right="-36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b/>
          <w:bCs/>
          <w:color w:val="C00000"/>
          <w:sz w:val="21"/>
          <w:szCs w:val="21"/>
          <w:lang w:eastAsia="ru-RU"/>
        </w:rPr>
        <w:t>Ст.156 Уголовного кодекса РФ</w:t>
      </w:r>
      <w:r w:rsidRPr="00AA7B14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.</w:t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Неисполнение обязанностей по воспитанию несовершеннолетнего.</w:t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AA7B14">
        <w:rPr>
          <w:rFonts w:ascii="Verdana" w:eastAsia="Times New Roman" w:hAnsi="Verdana" w:cs="Times New Roman"/>
          <w:b/>
          <w:bCs/>
          <w:color w:val="C00000"/>
          <w:sz w:val="21"/>
          <w:szCs w:val="21"/>
          <w:lang w:eastAsia="ru-RU"/>
        </w:rPr>
        <w:t>Ст.38</w:t>
      </w:r>
      <w:r w:rsidRPr="00AA7B14">
        <w:rPr>
          <w:rFonts w:ascii="Verdana" w:eastAsia="Times New Roman" w:hAnsi="Verdana" w:cs="Times New Roman"/>
          <w:color w:val="C00000"/>
          <w:sz w:val="21"/>
          <w:szCs w:val="21"/>
          <w:lang w:eastAsia="ru-RU"/>
        </w:rPr>
        <w:t> Конституции РФ </w:t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устанавливает равное право и обязанность родителей заботиться о детях и воспитывать их.</w:t>
      </w:r>
    </w:p>
    <w:p w14:paraId="6E649D3B" w14:textId="77777777" w:rsidR="008E54FA" w:rsidRDefault="008E54FA" w:rsidP="008E54FA">
      <w:pPr>
        <w:spacing w:after="0" w:line="240" w:lineRule="auto"/>
        <w:ind w:right="-365"/>
        <w:jc w:val="center"/>
        <w:rPr>
          <w:rFonts w:ascii="Arial Black" w:eastAsia="Times New Roman" w:hAnsi="Arial Black" w:cs="Times New Roman"/>
          <w:color w:val="000000"/>
          <w:lang w:eastAsia="ru-RU"/>
        </w:rPr>
      </w:pPr>
    </w:p>
    <w:p w14:paraId="45018926" w14:textId="24F0DE3D" w:rsidR="008E54FA" w:rsidRDefault="008E54FA" w:rsidP="008E54FA">
      <w:pPr>
        <w:spacing w:after="0" w:line="240" w:lineRule="auto"/>
        <w:ind w:right="-365"/>
        <w:jc w:val="center"/>
        <w:rPr>
          <w:rFonts w:ascii="Arial Black" w:eastAsia="Times New Roman" w:hAnsi="Arial Black" w:cs="Times New Roman"/>
          <w:color w:val="000000"/>
          <w:lang w:eastAsia="ru-RU"/>
        </w:rPr>
      </w:pPr>
      <w:r w:rsidRPr="00AA7B14">
        <w:rPr>
          <w:rFonts w:ascii="Arial Black" w:eastAsia="Times New Roman" w:hAnsi="Arial Black" w:cs="Times New Roman"/>
          <w:color w:val="000000"/>
          <w:lang w:eastAsia="ru-RU"/>
        </w:rPr>
        <w:t>Ответственность родителей за ненадлежащее исполнение родительских обязанностей</w:t>
      </w:r>
    </w:p>
    <w:p w14:paraId="478AA31A" w14:textId="77777777" w:rsidR="008E54FA" w:rsidRPr="00AA7B14" w:rsidRDefault="008E54FA" w:rsidP="008E54FA">
      <w:pPr>
        <w:spacing w:after="0" w:line="240" w:lineRule="auto"/>
        <w:ind w:right="-36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14:paraId="66F73DAF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Согласно </w:t>
      </w:r>
      <w:hyperlink r:id="rId4" w:history="1">
        <w:r w:rsidRPr="00AA7B14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ст. 5.35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Кодекса Российской Федерации об административных правонарушениях (далее - КоАП)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100 до 500 рублей. Вовлечение несовершеннолетнего в употребление спиртных напитков или одурманивающих веществ, совершенное родителями или иными законными представителями несовершеннолетних, согласно </w:t>
      </w:r>
      <w:hyperlink r:id="rId5" w:history="1">
        <w:r w:rsidRPr="00AA7B14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ст. 6.10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КоАП наказывается административным штрафом в размере от 4 тыс. до 5 тыс. рублей.</w:t>
      </w:r>
    </w:p>
    <w:p w14:paraId="36065C55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Уголовная ответственность за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в отличие от административной наступает, если названные деяния соединены с жестоким обращением с несовершеннолетним, согласно </w:t>
      </w:r>
      <w:hyperlink r:id="rId6" w:history="1">
        <w:r w:rsidRPr="00AA7B14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ст. 156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УК РФ они наказываются штрафом в размере до 100 тыс. рублей или в размере заработной платы или иного дохода осужденного за период </w:t>
      </w:r>
      <w:proofErr w:type="spellStart"/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доодного</w:t>
      </w:r>
      <w:proofErr w:type="spellEnd"/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года, либо обязательными работами на срок до 440 часов, либо исправительными работами на срок до двух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14:paraId="2D110917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число родительских прав и одновременно обязанностей в отношении ребенка входят права: 1) на воспитание ребенка; 2) на образование ребенка; 3) представлять интересы ребенка; 4) на защиту ребенка; 5) требовать возврата ребенка от любого лица, удерживающего его не на законном основании.</w:t>
      </w:r>
    </w:p>
    <w:p w14:paraId="01967387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Arial Black" w:eastAsia="Times New Roman" w:hAnsi="Arial Black" w:cs="Times New Roman"/>
          <w:color w:val="6781B8"/>
          <w:lang w:eastAsia="ru-RU"/>
        </w:rPr>
        <w:t>Право родителей на воспитание ребенка</w:t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регламентировано </w:t>
      </w:r>
      <w:hyperlink r:id="rId7" w:history="1">
        <w:r w:rsidRPr="00AA7B14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п. 1 ст. 63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СК РФ.</w:t>
      </w:r>
    </w:p>
    <w:p w14:paraId="03DAB00E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Право родителей или законных представителей на воспитание ребенка является одновременно обязанностью и включает в себя заботу о всестороннем развитии ребенка (физическом, психическом, духовном и нравственном). Согласно </w:t>
      </w:r>
      <w:hyperlink r:id="rId8" w:history="1">
        <w:r w:rsidRPr="00AA7B14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п. 2 ст. 6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Конвенции ООН "О правах ребенка" государства-участники обеспечивают в максимально возможной степени выживание и здоровое развитие ребенка.</w:t>
      </w:r>
    </w:p>
    <w:p w14:paraId="77A0AA6D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Родительское воспитание не должно причинять вред физическому или психическому здоровью ребенка, его нравственному развитию. Передача ребенка на воспитание другим родственникам, в образовательное, воспитательное учреждение </w:t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не освобождает родителей от ответственности. Эта ответственность может иметь как гражданско-правовой, так и административный и уголовный характер.</w:t>
      </w:r>
    </w:p>
    <w:p w14:paraId="69B71CC7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Arial Black" w:eastAsia="Times New Roman" w:hAnsi="Arial Black" w:cs="Times New Roman"/>
          <w:color w:val="6781B8"/>
          <w:lang w:eastAsia="ru-RU"/>
        </w:rPr>
        <w:t>Право на образование ребенка</w:t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неразрывно связано с правом на воспитание и предусмотрено </w:t>
      </w:r>
      <w:hyperlink r:id="rId9" w:history="1">
        <w:r w:rsidRPr="00AA7B14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п. 2 ст. 63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СК РФ, а также международными договорами.</w:t>
      </w:r>
    </w:p>
    <w:p w14:paraId="30D7DE94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0" w:history="1">
        <w:r w:rsidRPr="00AA7B14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Статьей 13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Международного пакта об экономических, социальных и культурных правах (Нью-Йорк, 16 декабря 1966 г.) признается право каждого человека на образование. Образование должно быть направлено на полное развитие человеческой личности и сознания ее достоинства, оно должно укреплять уважение к правам человека и основным свободам. Согласно </w:t>
      </w:r>
      <w:hyperlink r:id="rId11" w:history="1">
        <w:r w:rsidRPr="00AA7B14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п. 3 ст. 26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Всеобщей декларации прав человека, принятой на третьей сессии Генеральной Ассамблеи ООН Резолюцией N 217 A (III) от 10 декабря 1948 г., родители имеют право приоритета в выборе вида образования для своих малолетних детей.</w:t>
      </w:r>
    </w:p>
    <w:p w14:paraId="648296E6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Другим не менее важным правом и обязанностью родителей является </w:t>
      </w:r>
      <w:r w:rsidRPr="00AA7B14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представление интересов ребенка</w:t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14:paraId="00E3EC2C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 (без доверенности, а лишь на основании свидетельства о рождении ребенка).</w:t>
      </w:r>
    </w:p>
    <w:p w14:paraId="42E7F5B4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b/>
          <w:bCs/>
          <w:color w:val="6781B8"/>
          <w:sz w:val="21"/>
          <w:szCs w:val="21"/>
          <w:lang w:eastAsia="ru-RU"/>
        </w:rPr>
        <w:t>Право на защиту ребенка</w:t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предусмотрено как </w:t>
      </w:r>
      <w:hyperlink r:id="rId12" w:history="1">
        <w:r w:rsidRPr="00AA7B14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п. 1 ст. 64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СК РФ, так и </w:t>
      </w:r>
      <w:hyperlink r:id="rId13" w:history="1">
        <w:r w:rsidRPr="00AA7B14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ГК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РФ, а также другими нормативными правовыми актами.</w:t>
      </w:r>
    </w:p>
    <w:p w14:paraId="57C9CA30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Защита прав и интересов детей включает в себя установленные законом формы и способы восстановления нарушенных прав ребенка, а также принятие мер по предотвращению таких нарушений. Родители обязаны защищать не только те права детей, которые предусмотрены семейным законодательством, в частности </w:t>
      </w:r>
      <w:hyperlink r:id="rId14" w:history="1">
        <w:r w:rsidRPr="00AA7B14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гл. 11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СК РФ, но и гражданские, административные и другие права.</w:t>
      </w:r>
    </w:p>
    <w:p w14:paraId="735E89E5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5" w:history="1">
        <w:r w:rsidRPr="00AA7B14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Статья 1167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ГК РФ определяет особенности защиты наследственных прав несовершеннолетних. При наличии среди наследников несовершеннолетних раздел наследства осуществляется с соблюдением правил </w:t>
      </w:r>
      <w:hyperlink r:id="rId16" w:history="1">
        <w:r w:rsidRPr="00AA7B14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ст. 37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ГК РФ. В целях охраны законных интересов указанных наследников о составлении соглашения о разделе наследства (</w:t>
      </w:r>
      <w:hyperlink r:id="rId17" w:history="1">
        <w:r w:rsidRPr="00AA7B14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ст. 1165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ГК) и о рассмотрении в суде дела о разделе наследства должен быть уведомлен орган опеки и попечительства.</w:t>
      </w:r>
    </w:p>
    <w:p w14:paraId="0CDD1D11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Институт защиты прав несовершеннолетних включает в себя не только материальные, но и процессуальные нормы. Так, ст. 37 ГПК РФ определяет, что права, свободы и законные интересы несовершеннолетних в возрасте от 14 до 18 лет защищают в судебном процессе их законные представители. Однако суд обязан привлекать к участию в таких делах самих несовершеннолетних, а также граждан, ограниченных в дееспособности (</w:t>
      </w:r>
      <w:hyperlink r:id="rId18" w:history="1">
        <w:r w:rsidRPr="00AA7B14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ч. 3 ст. 37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ГПК).</w:t>
      </w:r>
    </w:p>
    <w:p w14:paraId="19B0C6DB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случаях, предусмотренных федеральным законом, по делам, возникающим из гражданских, семейных, трудовых, публичных и иных правоотношений, несовершеннолетние в возрасте от 14 до 18 лет вправе лично защищать в суде свои права, свободы и законные интересы. Однако суд вправе привлечь к участию в таких делах законных представителей несовершеннолетних. Например, ребенок, достигший 16 лет, может обратиться в суд с заявлением об эмансипации; несовершеннолетняя мать, достигшая возраста 14 лет, вправе подать исковое заявление об установлении отцовства.</w:t>
      </w:r>
    </w:p>
    <w:p w14:paraId="2DC98372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Права, свободы и законные интересы несовершеннолетних, не достигших возраста 14 лет, а также граждан, признанных недееспособными, защищают в судебном процессе их законные представители - родители, усыновители, опекуны, попечители или иные лица, которым это право предоставлено федеральным законом (</w:t>
      </w:r>
      <w:hyperlink r:id="rId19" w:history="1">
        <w:r w:rsidRPr="00AA7B14">
          <w:rPr>
            <w:rFonts w:ascii="Verdana" w:eastAsia="Times New Roman" w:hAnsi="Verdana" w:cs="Times New Roman"/>
            <w:color w:val="4493DE"/>
            <w:sz w:val="21"/>
            <w:szCs w:val="21"/>
            <w:u w:val="single"/>
            <w:lang w:eastAsia="ru-RU"/>
          </w:rPr>
          <w:t>ч. 5 ст. 37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ГПК).</w:t>
      </w:r>
    </w:p>
    <w:p w14:paraId="26C4759F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Родители не вправе представлять интересы своих детей, если органом опеки и попечительства установлено, что между интересами родителей и интересами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</w:t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интересов детей. Это может быть как родственник ребенка, так и работник органа опеки и попечительства.</w:t>
      </w:r>
    </w:p>
    <w:p w14:paraId="59E119FF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Arial Black" w:eastAsia="Times New Roman" w:hAnsi="Arial Black" w:cs="Times New Roman"/>
          <w:color w:val="6781B8"/>
          <w:lang w:eastAsia="ru-RU"/>
        </w:rPr>
        <w:t>Право требовать возврата ребенка от любого лица, удерживающего его не на законном основании</w:t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предусмотрено </w:t>
      </w:r>
      <w:proofErr w:type="spellStart"/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begin"/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instrText xml:space="preserve"> HYPERLINK "consultantplus://offline/ref=3348B77C296A7342303995C404C0D5E9C303CF11F12B8AAF4B59C5B01EFF41595745E03F0EB25E2BE0x6I" </w:instrText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separate"/>
      </w:r>
      <w:r w:rsidRPr="00AA7B14">
        <w:rPr>
          <w:rFonts w:ascii="Verdana" w:eastAsia="Times New Roman" w:hAnsi="Verdana" w:cs="Times New Roman"/>
          <w:color w:val="4493DE"/>
          <w:sz w:val="21"/>
          <w:szCs w:val="21"/>
          <w:u w:val="single"/>
          <w:lang w:eastAsia="ru-RU"/>
        </w:rPr>
        <w:t>абз</w:t>
      </w:r>
      <w:proofErr w:type="spellEnd"/>
      <w:r w:rsidRPr="00AA7B14">
        <w:rPr>
          <w:rFonts w:ascii="Verdana" w:eastAsia="Times New Roman" w:hAnsi="Verdana" w:cs="Times New Roman"/>
          <w:color w:val="4493DE"/>
          <w:sz w:val="21"/>
          <w:szCs w:val="21"/>
          <w:u w:val="single"/>
          <w:lang w:eastAsia="ru-RU"/>
        </w:rPr>
        <w:t>. 1 п. 1 ст. 68</w:t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end"/>
      </w: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СК РФ, которая носит название "Защита родительских прав". Родительские права также требуют необходимой защиты в случае их нарушения. Это может иметь место тогда, когда ребенка удерживают другие лица, в том числе родственники, вопреки мнению родителей, а иногда и мнению ребенка при отсутствии законного основания. Споры по данному вопросу подлежат разрешению в судебном порядке.</w:t>
      </w:r>
    </w:p>
    <w:p w14:paraId="2BAF1F2F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Право на защиту родительских прав включает защиту права на воспитание, образование ребенка, общение, получение информации о ребенке и др. В то же время реализация большинства из родительских прав невозможна при отсутствии ребенка. Право требовать возврата ребенка лежит в основе реализации других прав.</w:t>
      </w:r>
    </w:p>
    <w:p w14:paraId="784C15DA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Родительские права должны осуществляться обоими родителями и не должны противоречить интересам детей.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14:paraId="19EF4CDA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Семейный </w:t>
      </w:r>
      <w:hyperlink r:id="rId20" w:history="1">
        <w:r w:rsidRPr="00AA7B14">
          <w:rPr>
            <w:rFonts w:ascii="Verdana" w:eastAsia="Times New Roman" w:hAnsi="Verdana" w:cs="Times New Roman"/>
            <w:color w:val="000000"/>
            <w:sz w:val="21"/>
            <w:szCs w:val="21"/>
            <w:u w:val="single"/>
            <w:lang w:eastAsia="ru-RU"/>
          </w:rPr>
          <w:t>кодекс</w:t>
        </w:r>
      </w:hyperlink>
      <w:r w:rsidRPr="00AA7B14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устанавливает следующие </w:t>
      </w:r>
      <w:r w:rsidRPr="00AA7B14">
        <w:rPr>
          <w:rFonts w:ascii="Arial Black" w:eastAsia="Times New Roman" w:hAnsi="Arial Black" w:cs="Times New Roman"/>
          <w:b/>
          <w:bCs/>
          <w:color w:val="C00000"/>
          <w:lang w:eastAsia="ru-RU"/>
        </w:rPr>
        <w:t>формы ответственности</w:t>
      </w:r>
      <w:r w:rsidRPr="00AA7B14">
        <w:rPr>
          <w:rFonts w:ascii="Arial Black" w:eastAsia="Times New Roman" w:hAnsi="Arial Black" w:cs="Times New Roman"/>
          <w:color w:val="C00000"/>
          <w:lang w:eastAsia="ru-RU"/>
        </w:rPr>
        <w:t>:</w:t>
      </w:r>
    </w:p>
    <w:p w14:paraId="0C63F607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Arial Black" w:eastAsia="Times New Roman" w:hAnsi="Arial Black" w:cs="Times New Roman"/>
          <w:b/>
          <w:bCs/>
          <w:color w:val="C00000"/>
          <w:lang w:eastAsia="ru-RU"/>
        </w:rPr>
        <w:t>- лишение родительских прав;</w:t>
      </w:r>
    </w:p>
    <w:p w14:paraId="71E2322C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Arial Black" w:eastAsia="Times New Roman" w:hAnsi="Arial Black" w:cs="Times New Roman"/>
          <w:b/>
          <w:bCs/>
          <w:color w:val="C00000"/>
          <w:lang w:eastAsia="ru-RU"/>
        </w:rPr>
        <w:t>- ограничение родительских прав;</w:t>
      </w:r>
    </w:p>
    <w:p w14:paraId="0DABB4B4" w14:textId="77777777" w:rsidR="008E54FA" w:rsidRPr="00AA7B14" w:rsidRDefault="008E54FA" w:rsidP="008E54F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B14">
        <w:rPr>
          <w:rFonts w:ascii="Arial Black" w:eastAsia="Times New Roman" w:hAnsi="Arial Black" w:cs="Times New Roman"/>
          <w:b/>
          <w:bCs/>
          <w:color w:val="C00000"/>
          <w:lang w:eastAsia="ru-RU"/>
        </w:rPr>
        <w:t>- отобрание ребенка без ограничения или лишения родительских прав</w:t>
      </w:r>
    </w:p>
    <w:p w14:paraId="0F401477" w14:textId="77777777" w:rsidR="008E54FA" w:rsidRDefault="008E54FA" w:rsidP="008E54FA"/>
    <w:p w14:paraId="57FF7CB2" w14:textId="77777777" w:rsidR="00ED6130" w:rsidRDefault="00ED6130"/>
    <w:sectPr w:rsidR="00ED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6C"/>
    <w:rsid w:val="005E116C"/>
    <w:rsid w:val="008E54FA"/>
    <w:rsid w:val="009750CC"/>
    <w:rsid w:val="00ED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E01D"/>
  <w15:chartTrackingRefBased/>
  <w15:docId w15:val="{9D94E3E8-32CF-4216-9FCA-9E2AFEF2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8B77C296A7342303995C404C0D5E9CB03CB1BF37EDDAD1A0CCBB516AF09491900ED3E0EB1E5xEI" TargetMode="External"/><Relationship Id="rId13" Type="http://schemas.openxmlformats.org/officeDocument/2006/relationships/hyperlink" Target="consultantplus://offline/ref=3348B77C296A7342303995C404C0D5E9C302CC16FE2E8AAF4B59C5B01EEFxFI" TargetMode="External"/><Relationship Id="rId18" Type="http://schemas.openxmlformats.org/officeDocument/2006/relationships/hyperlink" Target="consultantplus://offline/ref=3348B77C296A7342303995C404C0D5E9C303CF14FD2C8AAF4B59C5B01EFF41595745E03F0EB25C22E0xA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348B77C296A7342303995C404C0D5E9C303CF11F12B8AAF4B59C5B01EFF41595745E03F0EB25F23E0xFI" TargetMode="External"/><Relationship Id="rId12" Type="http://schemas.openxmlformats.org/officeDocument/2006/relationships/hyperlink" Target="consultantplus://offline/ref=3348B77C296A7342303995C404C0D5E9C303CF11F12B8AAF4B59C5B01EFF41595745E03F0EB25F23E0x9I" TargetMode="External"/><Relationship Id="rId17" Type="http://schemas.openxmlformats.org/officeDocument/2006/relationships/hyperlink" Target="consultantplus://offline/ref=3348B77C296A7342303995C404C0D5E9C30EC616F9208AAF4B59C5B01EFF41595745E03F0EB25F23E0x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48B77C296A7342303995C404C0D5E9C302CC16FE2E8AAF4B59C5B01EFF41595745E03F0EB25F2AE0x8I" TargetMode="External"/><Relationship Id="rId20" Type="http://schemas.openxmlformats.org/officeDocument/2006/relationships/hyperlink" Target="consultantplus://offline/ref=3348B77C296A7342303995C404C0D5E9C303CF11F12B8AAF4B59C5B01EEFx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8B77C296A7342303995C404C0D5E9C302C717F0288AAF4B59C5B01EFF41595745E03F0EB25522E0xCI" TargetMode="External"/><Relationship Id="rId11" Type="http://schemas.openxmlformats.org/officeDocument/2006/relationships/hyperlink" Target="consultantplus://offline/ref=3348B77C296A7342303995C404C0D5E9C308CE1AF82D8AAF4B59C5B01EFF41595745E03F0EB25D22E0xFI" TargetMode="External"/><Relationship Id="rId5" Type="http://schemas.openxmlformats.org/officeDocument/2006/relationships/hyperlink" Target="consultantplus://offline/ref=3348B77C296A7342303995C404C0D5E9C303CF17FD2D8AAF4B59C5B01EFF41595745E0380DB7E5x4I" TargetMode="External"/><Relationship Id="rId15" Type="http://schemas.openxmlformats.org/officeDocument/2006/relationships/hyperlink" Target="consultantplus://offline/ref=3348B77C296A7342303995C404C0D5E9C30EC616F9208AAF4B59C5B01EFF41595745E03F0EB25F23E0x7I" TargetMode="External"/><Relationship Id="rId10" Type="http://schemas.openxmlformats.org/officeDocument/2006/relationships/hyperlink" Target="consultantplus://offline/ref=3348B77C296A7342303995C404C0D5E9C70ECC1BF37EDDAD1A0CCBB516AF09491900ED3E0EB4E5xFI" TargetMode="External"/><Relationship Id="rId19" Type="http://schemas.openxmlformats.org/officeDocument/2006/relationships/hyperlink" Target="consultantplus://offline/ref=3348B77C296A7342303995C404C0D5E9C303CF14FD2C8AAF4B59C5B01EFF41595745E03F0EB05E2CE0xDI" TargetMode="External"/><Relationship Id="rId4" Type="http://schemas.openxmlformats.org/officeDocument/2006/relationships/hyperlink" Target="consultantplus://offline/ref=3348B77C296A7342303995C404C0D5E9C303CF17FD2D8AAF4B59C5B01EFF41595745E03F0EB25F23E0xDI" TargetMode="External"/><Relationship Id="rId9" Type="http://schemas.openxmlformats.org/officeDocument/2006/relationships/hyperlink" Target="consultantplus://offline/ref=3348B77C296A7342303995C404C0D5E9C303CF11F12B8AAF4B59C5B01EFF41595745E03F0FEBxAI" TargetMode="External"/><Relationship Id="rId14" Type="http://schemas.openxmlformats.org/officeDocument/2006/relationships/hyperlink" Target="consultantplus://offline/ref=3348B77C296A7342303995C404C0D5E9C303CF11F12B8AAF4B59C5B01EFF41595745E03F0EB25F2EE0xD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1610</Words>
  <Characters>9178</Characters>
  <Application>Microsoft Office Word</Application>
  <DocSecurity>0</DocSecurity>
  <Lines>76</Lines>
  <Paragraphs>21</Paragraphs>
  <ScaleCrop>false</ScaleCrop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Ирина Ивановна</dc:creator>
  <cp:keywords/>
  <dc:description/>
  <cp:lastModifiedBy>Дмитриева Ирина Ивановна</cp:lastModifiedBy>
  <cp:revision>2</cp:revision>
  <dcterms:created xsi:type="dcterms:W3CDTF">2020-07-03T05:44:00Z</dcterms:created>
  <dcterms:modified xsi:type="dcterms:W3CDTF">2020-07-03T05:46:00Z</dcterms:modified>
</cp:coreProperties>
</file>