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C875D1" w:rsidRDefault="00596AD2" w:rsidP="002D7E7C">
      <w:pPr>
        <w:ind w:right="-1" w:firstLine="708"/>
        <w:jc w:val="both"/>
      </w:pPr>
      <w:r w:rsidRPr="005D4524">
        <w:t>Ссылка на проект:</w:t>
      </w:r>
      <w:r w:rsidR="00D630B1" w:rsidRPr="005D4524">
        <w:t xml:space="preserve"> Проект постановления администрации Нижнедевицкого муниципального района Воронежской области  </w:t>
      </w:r>
      <w:r w:rsidR="00AD51DE" w:rsidRPr="005D4524">
        <w:t>«</w:t>
      </w:r>
      <w:r w:rsidR="005D4524" w:rsidRPr="005D4524">
        <w:t xml:space="preserve">Об утверждении Положения о муниципальном </w:t>
      </w:r>
      <w:r w:rsidR="00154556">
        <w:t xml:space="preserve">жилищном </w:t>
      </w:r>
      <w:r w:rsidR="005D4524" w:rsidRPr="005D4524">
        <w:t xml:space="preserve"> контроле на территории Нижнедевицкого муниципального района Воронежской области</w:t>
      </w:r>
      <w:r w:rsidR="005D4524">
        <w:t xml:space="preserve">» </w:t>
      </w:r>
      <w:hyperlink r:id="rId5" w:history="1">
        <w:r w:rsidR="00C875D1" w:rsidRPr="00CF2182">
          <w:rPr>
            <w:rStyle w:val="a3"/>
          </w:rPr>
          <w:t>https://nizhnedevick-r36.gosuslugi.ru/ofitsialno/otsenka-reguliruyuschego-vozdeystviya/</w:t>
        </w:r>
      </w:hyperlink>
    </w:p>
    <w:p w:rsidR="00596AD2" w:rsidRPr="00C43199" w:rsidRDefault="00C875D1" w:rsidP="00095C09">
      <w:pPr>
        <w:widowControl w:val="0"/>
        <w:autoSpaceDE w:val="0"/>
        <w:autoSpaceDN w:val="0"/>
        <w:ind w:firstLine="851"/>
        <w:jc w:val="both"/>
      </w:pPr>
      <w:r>
        <w:t>Д</w:t>
      </w:r>
      <w:r w:rsidR="00596AD2" w:rsidRPr="00C43199">
        <w:t xml:space="preserve">ата проведения публичного обсуждения: </w:t>
      </w:r>
      <w:r w:rsidR="00D630B1">
        <w:t xml:space="preserve">с </w:t>
      </w:r>
      <w:r>
        <w:t xml:space="preserve">24.02.2025 </w:t>
      </w:r>
      <w:r w:rsidR="00420C25">
        <w:t xml:space="preserve"> по </w:t>
      </w:r>
      <w:r>
        <w:t>07.03.2025</w:t>
      </w:r>
      <w:r w:rsidR="00420C25">
        <w:t xml:space="preserve"> г.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>Отчет сгенерирован:</w:t>
      </w:r>
      <w:r w:rsidR="00C64E8E">
        <w:t xml:space="preserve"> </w:t>
      </w:r>
      <w:r w:rsidR="005D4524">
        <w:t>1</w:t>
      </w:r>
      <w:r w:rsidR="00C875D1">
        <w:t>0.0</w:t>
      </w:r>
      <w:r w:rsidR="000F3969">
        <w:t>3</w:t>
      </w:r>
      <w:r w:rsidR="00C875D1">
        <w:t>.2025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Товт И.М.</w:t>
            </w:r>
          </w:p>
        </w:tc>
        <w:tc>
          <w:tcPr>
            <w:tcW w:w="5103" w:type="dxa"/>
          </w:tcPr>
          <w:p w:rsidR="003021BB" w:rsidRPr="003021BB" w:rsidRDefault="003021BB" w:rsidP="003021BB">
            <w:pPr>
              <w:pStyle w:val="a4"/>
              <w:ind w:firstLine="709"/>
              <w:rPr>
                <w:b w:val="0"/>
                <w:szCs w:val="24"/>
              </w:rPr>
            </w:pPr>
            <w:proofErr w:type="gramStart"/>
            <w:r w:rsidRPr="003021BB">
              <w:rPr>
                <w:b w:val="0"/>
                <w:szCs w:val="24"/>
              </w:rPr>
              <w:t xml:space="preserve">Муниципальный контроль осуществляется в целях обеспечения соблюдения обязательных требований </w:t>
            </w:r>
            <w:r w:rsidRPr="003021BB">
              <w:rPr>
                <w:rFonts w:eastAsiaTheme="minorHAnsi"/>
                <w:b w:val="0"/>
                <w:szCs w:val="24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3021BB">
              <w:rPr>
                <w:b w:val="0"/>
                <w:szCs w:val="24"/>
              </w:rPr>
              <w:t xml:space="preserve">посредством профилактики нарушений обязательных требований, оценки </w:t>
            </w:r>
            <w:r>
              <w:rPr>
                <w:b w:val="0"/>
                <w:szCs w:val="24"/>
              </w:rPr>
              <w:t xml:space="preserve">соблюдения юридическими лицами, </w:t>
            </w:r>
            <w:r w:rsidRPr="003021BB">
              <w:rPr>
                <w:b w:val="0"/>
                <w:szCs w:val="24"/>
              </w:rPr>
              <w:t>индивидуальными предпринимателями, гражданами 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      </w:r>
            <w:proofErr w:type="gramEnd"/>
            <w:r w:rsidRPr="003021BB">
              <w:rPr>
                <w:b w:val="0"/>
                <w:szCs w:val="24"/>
              </w:rPr>
              <w:t xml:space="preserve"> возникновения таких нарушений.</w:t>
            </w:r>
          </w:p>
          <w:p w:rsidR="00596AD2" w:rsidRPr="00E94BD5" w:rsidRDefault="00596AD2" w:rsidP="009721D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131122" w:rsidRPr="00CF0524" w:rsidRDefault="00CF0524" w:rsidP="00CF0524">
            <w:pPr>
              <w:pStyle w:val="a4"/>
              <w:rPr>
                <w:rFonts w:eastAsia="Calibri"/>
                <w:b w:val="0"/>
                <w:szCs w:val="24"/>
                <w:highlight w:val="yellow"/>
              </w:rPr>
            </w:pPr>
            <w:r w:rsidRPr="00CF0524">
              <w:rPr>
                <w:b w:val="0"/>
                <w:color w:val="333333"/>
                <w:szCs w:val="24"/>
              </w:rPr>
              <w:t xml:space="preserve">Вышеуказанный </w:t>
            </w:r>
            <w:r w:rsidRPr="00CF0524">
              <w:rPr>
                <w:b w:val="0"/>
                <w:szCs w:val="24"/>
              </w:rPr>
              <w:t xml:space="preserve">порядок организации и осуществления муниципального контроля </w:t>
            </w:r>
            <w:r w:rsidRPr="00CF0524">
              <w:rPr>
                <w:rFonts w:eastAsiaTheme="minorHAnsi"/>
                <w:b w:val="0"/>
                <w:szCs w:val="24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CF0524">
              <w:rPr>
                <w:b w:val="0"/>
                <w:szCs w:val="24"/>
              </w:rPr>
              <w:t xml:space="preserve">на территории Нижнедевицкого муниципального района  </w:t>
            </w:r>
            <w:r>
              <w:rPr>
                <w:b w:val="0"/>
                <w:szCs w:val="24"/>
              </w:rPr>
              <w:t xml:space="preserve">позволит соблюдать требования </w:t>
            </w:r>
            <w:r w:rsidR="002C188A">
              <w:rPr>
                <w:b w:val="0"/>
                <w:szCs w:val="24"/>
              </w:rPr>
              <w:t>дорожного законодательства и предупреждает об административной ответственности за не соблюдение данных требований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2D7E7C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Камынина К.Н.</w:t>
            </w:r>
          </w:p>
        </w:tc>
        <w:tc>
          <w:tcPr>
            <w:tcW w:w="5103" w:type="dxa"/>
            <w:shd w:val="clear" w:color="auto" w:fill="auto"/>
          </w:tcPr>
          <w:p w:rsidR="00131122" w:rsidRPr="00CF0524" w:rsidRDefault="003021BB" w:rsidP="00CF0524">
            <w:pPr>
              <w:shd w:val="clear" w:color="auto" w:fill="FFFFFF"/>
              <w:spacing w:before="150" w:after="100" w:afterAutospacing="1"/>
              <w:rPr>
                <w:rFonts w:eastAsia="Calibri"/>
                <w:highlight w:val="yellow"/>
              </w:rPr>
            </w:pPr>
            <w:r w:rsidRPr="00CF0524">
              <w:rPr>
                <w:color w:val="333333"/>
                <w:shd w:val="clear" w:color="auto" w:fill="FFFFFF"/>
              </w:rPr>
              <w:t>Данное положение позволит смотреть за состоянием покрытия дорог, уличного </w:t>
            </w:r>
            <w:r w:rsidRPr="00CF0524">
              <w:rPr>
                <w:bCs/>
                <w:color w:val="333333"/>
                <w:shd w:val="clear" w:color="auto" w:fill="FFFFFF"/>
              </w:rPr>
              <w:t>дорожного</w:t>
            </w:r>
            <w:r w:rsidRPr="00CF0524">
              <w:rPr>
                <w:color w:val="333333"/>
                <w:shd w:val="clear" w:color="auto" w:fill="FFFFFF"/>
              </w:rPr>
              <w:t> освещения, ж/</w:t>
            </w:r>
            <w:proofErr w:type="spellStart"/>
            <w:r w:rsidRPr="00CF0524">
              <w:rPr>
                <w:color w:val="333333"/>
                <w:shd w:val="clear" w:color="auto" w:fill="FFFFFF"/>
              </w:rPr>
              <w:t>д</w:t>
            </w:r>
            <w:proofErr w:type="spellEnd"/>
            <w:r w:rsidRPr="00CF0524">
              <w:rPr>
                <w:color w:val="333333"/>
                <w:shd w:val="clear" w:color="auto" w:fill="FFFFFF"/>
              </w:rPr>
              <w:t xml:space="preserve"> переезд</w:t>
            </w:r>
            <w:r w:rsidR="00CF0524">
              <w:rPr>
                <w:color w:val="333333"/>
                <w:shd w:val="clear" w:color="auto" w:fill="FFFFFF"/>
              </w:rPr>
              <w:t>ов</w:t>
            </w:r>
            <w:r w:rsidRPr="00CF0524">
              <w:rPr>
                <w:color w:val="333333"/>
                <w:shd w:val="clear" w:color="auto" w:fill="FFFFFF"/>
              </w:rPr>
              <w:t>, работу сигнализации на них, наличие, правильную установку </w:t>
            </w:r>
            <w:r w:rsidRPr="00CF0524">
              <w:rPr>
                <w:bCs/>
                <w:color w:val="333333"/>
                <w:shd w:val="clear" w:color="auto" w:fill="FFFFFF"/>
              </w:rPr>
              <w:t>дорожных</w:t>
            </w:r>
            <w:r w:rsidRPr="00CF0524">
              <w:rPr>
                <w:color w:val="333333"/>
                <w:shd w:val="clear" w:color="auto" w:fill="FFFFFF"/>
              </w:rPr>
              <w:t xml:space="preserve"> знаков, наличие горизонтальной разметки, качество </w:t>
            </w:r>
            <w:r w:rsidRPr="00CF0524">
              <w:rPr>
                <w:color w:val="333333"/>
                <w:shd w:val="clear" w:color="auto" w:fill="FFFFFF"/>
              </w:rPr>
              <w:lastRenderedPageBreak/>
              <w:t xml:space="preserve">зимнего содержания дорог, что позволит сократить </w:t>
            </w:r>
            <w:r w:rsidR="006A6280" w:rsidRPr="00CF0524">
              <w:rPr>
                <w:color w:val="333333"/>
                <w:shd w:val="clear" w:color="auto" w:fill="FFFFFF"/>
              </w:rPr>
              <w:t>происшествия</w:t>
            </w:r>
            <w:r w:rsidRPr="00CF0524">
              <w:rPr>
                <w:color w:val="333333"/>
                <w:shd w:val="clear" w:color="auto" w:fill="FFFFFF"/>
              </w:rPr>
              <w:t xml:space="preserve"> на дорогах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131122" w:rsidRPr="00F11698" w:rsidRDefault="00F154D5" w:rsidP="002D7E7C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EB3677">
              <w:t>Данный проект нормативного правового акта не содержит положений, вводящих избыточные административные и иные ограничения и обязанности</w:t>
            </w:r>
            <w:r w:rsidR="002D7E7C">
              <w:t xml:space="preserve">. </w:t>
            </w:r>
            <w:r w:rsidRPr="00EB3677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 xml:space="preserve">Начальник отдела экономики                   </w:t>
      </w:r>
      <w:r w:rsidR="00004CC2">
        <w:t xml:space="preserve">    </w:t>
      </w:r>
      <w:r w:rsidRPr="00E253AB">
        <w:t xml:space="preserve">                             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C875D1" w:rsidP="00E253AB">
      <w:pPr>
        <w:jc w:val="both"/>
      </w:pPr>
      <w:r>
        <w:t>10</w:t>
      </w:r>
      <w:r w:rsidR="00E253AB" w:rsidRPr="00E253AB">
        <w:t>.</w:t>
      </w:r>
      <w:r w:rsidR="00157828">
        <w:t>0</w:t>
      </w:r>
      <w:r>
        <w:t>3</w:t>
      </w:r>
      <w:r w:rsidR="00E253AB" w:rsidRPr="00E253AB">
        <w:t>.20</w:t>
      </w:r>
      <w:r w:rsidR="00157828">
        <w:t>2</w:t>
      </w:r>
      <w:r>
        <w:t>5</w:t>
      </w:r>
      <w:r w:rsidR="00E253AB" w:rsidRPr="00E253AB">
        <w:t>г.</w:t>
      </w:r>
    </w:p>
    <w:p w:rsidR="00CA5C4D" w:rsidRPr="00E253AB" w:rsidRDefault="000F3969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788A"/>
    <w:multiLevelType w:val="multilevel"/>
    <w:tmpl w:val="CD1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971E6"/>
    <w:multiLevelType w:val="multilevel"/>
    <w:tmpl w:val="8FEA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04CC2"/>
    <w:rsid w:val="000778BA"/>
    <w:rsid w:val="00095C09"/>
    <w:rsid w:val="000F1ECB"/>
    <w:rsid w:val="000F3969"/>
    <w:rsid w:val="00131122"/>
    <w:rsid w:val="00154556"/>
    <w:rsid w:val="00157828"/>
    <w:rsid w:val="0018382B"/>
    <w:rsid w:val="001E49B0"/>
    <w:rsid w:val="001F2D76"/>
    <w:rsid w:val="00217C1B"/>
    <w:rsid w:val="00253179"/>
    <w:rsid w:val="002A5A6D"/>
    <w:rsid w:val="002C188A"/>
    <w:rsid w:val="002D7E7C"/>
    <w:rsid w:val="003021BB"/>
    <w:rsid w:val="003A5981"/>
    <w:rsid w:val="00420C25"/>
    <w:rsid w:val="005474FE"/>
    <w:rsid w:val="00596AD2"/>
    <w:rsid w:val="005D4524"/>
    <w:rsid w:val="006008E8"/>
    <w:rsid w:val="00673B7D"/>
    <w:rsid w:val="006A1DDD"/>
    <w:rsid w:val="006A6280"/>
    <w:rsid w:val="006A6D6F"/>
    <w:rsid w:val="007306E5"/>
    <w:rsid w:val="00761B93"/>
    <w:rsid w:val="007C46E2"/>
    <w:rsid w:val="007F40B5"/>
    <w:rsid w:val="00841936"/>
    <w:rsid w:val="008E2A12"/>
    <w:rsid w:val="00915834"/>
    <w:rsid w:val="009351C5"/>
    <w:rsid w:val="009444AB"/>
    <w:rsid w:val="009721D2"/>
    <w:rsid w:val="009A688A"/>
    <w:rsid w:val="009D4E49"/>
    <w:rsid w:val="009E609A"/>
    <w:rsid w:val="00A6418D"/>
    <w:rsid w:val="00A91C7E"/>
    <w:rsid w:val="00A9280E"/>
    <w:rsid w:val="00AD51DE"/>
    <w:rsid w:val="00B02BD2"/>
    <w:rsid w:val="00B16F30"/>
    <w:rsid w:val="00BF5F4B"/>
    <w:rsid w:val="00C64E8E"/>
    <w:rsid w:val="00C875D1"/>
    <w:rsid w:val="00C91390"/>
    <w:rsid w:val="00CA1129"/>
    <w:rsid w:val="00CF0524"/>
    <w:rsid w:val="00D14490"/>
    <w:rsid w:val="00D42720"/>
    <w:rsid w:val="00D630B1"/>
    <w:rsid w:val="00E127D8"/>
    <w:rsid w:val="00E253AB"/>
    <w:rsid w:val="00E94BD5"/>
    <w:rsid w:val="00EB3677"/>
    <w:rsid w:val="00F11698"/>
    <w:rsid w:val="00F154D5"/>
    <w:rsid w:val="00F24D4A"/>
    <w:rsid w:val="00F47B90"/>
    <w:rsid w:val="00FE168A"/>
    <w:rsid w:val="00FF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3021BB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3021B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zhnedevick-r36.gosuslugi.ru/ofitsialno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16</cp:revision>
  <dcterms:created xsi:type="dcterms:W3CDTF">2019-12-13T06:26:00Z</dcterms:created>
  <dcterms:modified xsi:type="dcterms:W3CDTF">2025-04-15T10:59:00Z</dcterms:modified>
</cp:coreProperties>
</file>